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A7B6B5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14:paraId="60194A65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4547DC48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28B35688" w14:textId="77777777" w:rsidTr="000C58BD">
        <w:tc>
          <w:tcPr>
            <w:tcW w:w="2127" w:type="dxa"/>
            <w:shd w:val="clear" w:color="auto" w:fill="auto"/>
          </w:tcPr>
          <w:p w14:paraId="70DA9CF5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0DC444F0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D956E40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7D4BFA3D" w14:textId="77777777" w:rsidTr="000C58BD">
        <w:tc>
          <w:tcPr>
            <w:tcW w:w="2127" w:type="dxa"/>
            <w:shd w:val="clear" w:color="auto" w:fill="auto"/>
          </w:tcPr>
          <w:p w14:paraId="030B6B9D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682C0F1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Hacer</w:t>
            </w:r>
            <w:proofErr w:type="gramEnd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C53E31" w:rsidRPr="000C58BD" w14:paraId="4997C3A9" w14:textId="77777777" w:rsidTr="000C58BD">
        <w:tc>
          <w:tcPr>
            <w:tcW w:w="2127" w:type="dxa"/>
            <w:shd w:val="clear" w:color="auto" w:fill="auto"/>
          </w:tcPr>
          <w:p w14:paraId="66CBE3E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36F3FF59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3E31" w:rsidRPr="003359FD">
              <w:rPr>
                <w:rFonts w:ascii="Arial" w:hAnsi="Arial" w:cs="Arial"/>
                <w:sz w:val="22"/>
                <w:szCs w:val="22"/>
              </w:rPr>
              <w:t>Promover</w:t>
            </w:r>
            <w:proofErr w:type="gramEnd"/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0AB04451" w14:textId="77777777" w:rsidTr="000C58BD">
        <w:tc>
          <w:tcPr>
            <w:tcW w:w="2127" w:type="dxa"/>
            <w:shd w:val="clear" w:color="auto" w:fill="auto"/>
          </w:tcPr>
          <w:p w14:paraId="5E3A0B6D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73D5370D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55ADE17C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312E9123" w14:textId="77777777" w:rsidTr="000C58BD">
        <w:tc>
          <w:tcPr>
            <w:tcW w:w="2127" w:type="dxa"/>
            <w:shd w:val="clear" w:color="auto" w:fill="auto"/>
          </w:tcPr>
          <w:p w14:paraId="27398AF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65957175" w14:textId="77777777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proofErr w:type="gramEnd"/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de educación, salud y cultura para mujeres, jóvenes, niños, niñas y adolescente</w:t>
            </w:r>
          </w:p>
        </w:tc>
      </w:tr>
    </w:tbl>
    <w:p w14:paraId="6282BA50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4C327DA8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80B73C4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7A6508F5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1115884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0219ED94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BBFBD1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41B84B7B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56349442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3A289B5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2DD347F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3B33D3B0" w14:textId="47DD8F49" w:rsidR="009333AB" w:rsidRPr="00B57D52" w:rsidRDefault="00425DB5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Diciembre</w:t>
      </w:r>
      <w:r w:rsidR="009333AB" w:rsidRPr="00B57D52">
        <w:rPr>
          <w:rFonts w:ascii="Arial" w:hAnsi="Arial" w:cs="Arial"/>
          <w:b/>
          <w:sz w:val="22"/>
          <w:szCs w:val="22"/>
        </w:rPr>
        <w:t xml:space="preserve"> 2020</w:t>
      </w:r>
      <w:r w:rsidR="009333AB" w:rsidRPr="00B57D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4E4CE1D3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7680422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3176BE97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337A7A67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0" w:name="__RefHeading__70_1121262178"/>
      <w:bookmarkStart w:id="1" w:name="__RefHeading__66_988231325"/>
      <w:bookmarkStart w:id="2" w:name="__RefHeading__259_1484616871"/>
      <w:bookmarkStart w:id="3" w:name="__RefHeading__59_1484616871"/>
      <w:bookmarkStart w:id="4" w:name="__RefHeading__50_1089277957"/>
      <w:bookmarkStart w:id="5" w:name="__RefHeading__96_222241988"/>
      <w:bookmarkStart w:id="6" w:name="__RefHeading__4229_640894548"/>
      <w:bookmarkStart w:id="7" w:name="__RefHeading__76_1761471730"/>
      <w:bookmarkStart w:id="8" w:name="__RefHeading__16222_1102454762"/>
      <w:bookmarkStart w:id="9" w:name="__RefHeading__33_933958631"/>
      <w:bookmarkStart w:id="10" w:name="__RefHeading__1_956707371"/>
      <w:bookmarkStart w:id="11" w:name="__RefHeading__16101_1102454762"/>
      <w:bookmarkStart w:id="12" w:name="__RefHeading__38_222241988"/>
      <w:bookmarkStart w:id="13" w:name="__RefHeading__165_73656964"/>
      <w:bookmarkStart w:id="14" w:name="__RefHeading__684_1187675580"/>
      <w:bookmarkStart w:id="15" w:name="__RefHeading__137_1484616871"/>
      <w:bookmarkStart w:id="16" w:name="__RefHeading__57_1853248586"/>
      <w:bookmarkStart w:id="17" w:name="__RefHeading__66_313616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7CB68932" w14:textId="6E2AE5E1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</w:t>
      </w:r>
      <w:r w:rsidR="0041722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41722C">
        <w:rPr>
          <w:rFonts w:ascii="Arial" w:hAnsi="Arial" w:cs="Arial"/>
          <w:color w:val="000000"/>
          <w:sz w:val="22"/>
          <w:szCs w:val="22"/>
        </w:rPr>
        <w:t>……</w:t>
      </w:r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1BA43D2" w14:textId="406141ED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</w:t>
      </w:r>
      <w:r w:rsidR="0041722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41722C">
        <w:rPr>
          <w:rFonts w:ascii="Arial" w:hAnsi="Arial" w:cs="Arial"/>
          <w:color w:val="000000"/>
          <w:sz w:val="22"/>
          <w:szCs w:val="22"/>
        </w:rPr>
        <w:t>……</w:t>
      </w:r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61C87E1E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39B32E5" w14:textId="14CABA7E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proofErr w:type="gramStart"/>
      <w:r w:rsidR="0041722C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41722C">
        <w:rPr>
          <w:rFonts w:ascii="Arial" w:hAnsi="Arial" w:cs="Arial"/>
          <w:color w:val="000000"/>
          <w:sz w:val="22"/>
          <w:szCs w:val="22"/>
        </w:rPr>
        <w:t xml:space="preserve">  …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………..……………………………</w:t>
      </w:r>
      <w:r w:rsidR="0041722C">
        <w:rPr>
          <w:rFonts w:ascii="Arial" w:hAnsi="Arial" w:cs="Arial"/>
          <w:color w:val="000000"/>
          <w:sz w:val="22"/>
          <w:szCs w:val="22"/>
        </w:rPr>
        <w:t>.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3FC5E8C" w14:textId="10BBEEF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</w:t>
      </w:r>
      <w:r w:rsidR="0041722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………………………………</w:t>
      </w:r>
      <w:r w:rsidR="0041722C">
        <w:rPr>
          <w:rFonts w:ascii="Arial" w:hAnsi="Arial" w:cs="Arial"/>
          <w:color w:val="000000"/>
          <w:sz w:val="22"/>
          <w:szCs w:val="22"/>
        </w:rPr>
        <w:t>……</w:t>
      </w:r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13C3F528" w14:textId="1011AA38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</w:t>
      </w:r>
      <w:r w:rsidR="0041722C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</w:t>
      </w:r>
      <w:r w:rsidR="0041722C">
        <w:rPr>
          <w:rFonts w:ascii="Arial" w:hAnsi="Arial" w:cs="Arial"/>
          <w:color w:val="000000"/>
          <w:sz w:val="22"/>
          <w:szCs w:val="22"/>
        </w:rPr>
        <w:t>……</w:t>
      </w:r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FA0C045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4FCEE82" w14:textId="6D82F8E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41722C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656CA17" w14:textId="1A1379AA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</w:t>
      </w:r>
      <w:r w:rsidR="00C54D64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>….</w:t>
      </w:r>
      <w:r w:rsidR="00C54D64">
        <w:rPr>
          <w:rFonts w:ascii="Arial" w:hAnsi="Arial" w:cs="Arial"/>
          <w:color w:val="000000"/>
          <w:sz w:val="22"/>
          <w:szCs w:val="22"/>
        </w:rPr>
        <w:t xml:space="preserve"> </w:t>
      </w:r>
      <w:r w:rsidR="0099231B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A93BE88" w14:textId="76D42C03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</w:t>
      </w:r>
      <w:proofErr w:type="gramStart"/>
      <w:r w:rsidR="005763C3">
        <w:rPr>
          <w:rFonts w:ascii="Arial" w:hAnsi="Arial" w:cs="Arial"/>
          <w:color w:val="000000"/>
          <w:sz w:val="22"/>
          <w:szCs w:val="22"/>
        </w:rPr>
        <w:t>……</w:t>
      </w:r>
      <w:r w:rsidR="00C54D64">
        <w:rPr>
          <w:rFonts w:ascii="Arial" w:hAnsi="Arial" w:cs="Arial"/>
          <w:color w:val="000000"/>
          <w:sz w:val="22"/>
          <w:szCs w:val="22"/>
        </w:rPr>
        <w:t>.</w:t>
      </w:r>
      <w:proofErr w:type="gramEnd"/>
      <w:r w:rsidR="005763C3">
        <w:rPr>
          <w:rFonts w:ascii="Arial" w:hAnsi="Arial" w:cs="Arial"/>
          <w:color w:val="000000"/>
          <w:sz w:val="22"/>
          <w:szCs w:val="22"/>
        </w:rPr>
        <w:t>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99231B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10129A6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4558FEC8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8" w:name="__RefHeading__72_1121262178"/>
      <w:bookmarkStart w:id="19" w:name="__RefHeading__68_988231325"/>
      <w:bookmarkStart w:id="20" w:name="__RefHeading__261_1484616871"/>
      <w:bookmarkStart w:id="21" w:name="__RefHeading__61_1484616871"/>
      <w:bookmarkStart w:id="22" w:name="__RefHeading__52_1089277957"/>
      <w:bookmarkStart w:id="23" w:name="__RefHeading__98_222241988"/>
      <w:bookmarkStart w:id="24" w:name="__RefHeading__4231_640894548"/>
      <w:bookmarkStart w:id="25" w:name="__RefHeading__78_1761471730"/>
      <w:bookmarkStart w:id="26" w:name="__RefHeading__16224_1102454762"/>
      <w:bookmarkStart w:id="27" w:name="__RefHeading__35_933958631"/>
      <w:bookmarkStart w:id="28" w:name="__RefHeading__3_956707371"/>
      <w:bookmarkStart w:id="29" w:name="__RefHeading__17_1299977710"/>
      <w:bookmarkStart w:id="30" w:name="__RefHeading__16103_1102454762"/>
      <w:bookmarkStart w:id="31" w:name="__RefHeading__40_222241988"/>
      <w:bookmarkStart w:id="32" w:name="__RefHeading__167_73656964"/>
      <w:bookmarkStart w:id="33" w:name="__RefHeading__686_1187675580"/>
      <w:bookmarkStart w:id="34" w:name="__RefHeading__139_1484616871"/>
      <w:bookmarkStart w:id="35" w:name="__RefHeading__59_1853248586"/>
      <w:bookmarkStart w:id="36" w:name="__RefHeading__68_313616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02331577" w14:textId="77777777" w:rsidR="00D33E6A" w:rsidRPr="00D33E6A" w:rsidRDefault="00D33E6A" w:rsidP="00D33E6A"/>
    <w:p w14:paraId="7CCB2715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18A73AF5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628D89D1" w14:textId="77777777" w:rsidR="000044C5" w:rsidRDefault="000044C5" w:rsidP="00D33E6A">
      <w:pPr>
        <w:spacing w:line="240" w:lineRule="auto"/>
      </w:pPr>
    </w:p>
    <w:p w14:paraId="6AECF555" w14:textId="77777777" w:rsidR="0003195C" w:rsidRPr="000044C5" w:rsidRDefault="0003195C" w:rsidP="00D33E6A">
      <w:pPr>
        <w:spacing w:line="240" w:lineRule="auto"/>
      </w:pPr>
    </w:p>
    <w:p w14:paraId="1F8CB8FD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7" w:name="__RefHeading__74_1121262178"/>
      <w:bookmarkStart w:id="38" w:name="__RefHeading__70_988231325"/>
      <w:bookmarkStart w:id="39" w:name="__RefHeading__263_1484616871"/>
      <w:bookmarkStart w:id="40" w:name="__RefHeading__63_1484616871"/>
      <w:bookmarkStart w:id="41" w:name="__RefHeading__54_1089277957"/>
      <w:bookmarkStart w:id="42" w:name="__RefHeading__100_222241988"/>
      <w:bookmarkStart w:id="43" w:name="__RefHeading__4233_640894548"/>
      <w:bookmarkStart w:id="44" w:name="__RefHeading__80_1761471730"/>
      <w:bookmarkStart w:id="45" w:name="__RefHeading__16226_1102454762"/>
      <w:bookmarkStart w:id="46" w:name="__RefHeading__37_933958631"/>
      <w:bookmarkStart w:id="47" w:name="__RefHeading__5_956707371"/>
      <w:bookmarkStart w:id="48" w:name="__RefHeading__19_1299977710"/>
      <w:bookmarkStart w:id="49" w:name="__RefHeading__16105_1102454762"/>
      <w:bookmarkStart w:id="50" w:name="__RefHeading__42_222241988"/>
      <w:bookmarkStart w:id="51" w:name="__RefHeading__169_73656964"/>
      <w:bookmarkStart w:id="52" w:name="__RefHeading__688_1187675580"/>
      <w:bookmarkStart w:id="53" w:name="__RefHeading__141_1484616871"/>
      <w:bookmarkStart w:id="54" w:name="__RefHeading__61_1853248586"/>
      <w:bookmarkStart w:id="55" w:name="__RefHeading__70_3136160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4A1862B" w14:textId="77777777" w:rsidR="00D33E6A" w:rsidRPr="00D33E6A" w:rsidRDefault="00D33E6A" w:rsidP="00D33E6A"/>
    <w:p w14:paraId="73A50BAA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1DBD7644" w14:textId="77777777" w:rsidR="000044C5" w:rsidRDefault="000044C5" w:rsidP="00D33E6A">
      <w:pPr>
        <w:spacing w:line="240" w:lineRule="auto"/>
      </w:pPr>
    </w:p>
    <w:p w14:paraId="086ECBC6" w14:textId="77777777" w:rsidR="007727D1" w:rsidRPr="000044C5" w:rsidRDefault="007727D1" w:rsidP="00D33E6A">
      <w:pPr>
        <w:spacing w:line="240" w:lineRule="auto"/>
      </w:pPr>
    </w:p>
    <w:p w14:paraId="1D8C1FD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6" w:name="__RefHeading__76_1121262178"/>
      <w:bookmarkStart w:id="57" w:name="__RefHeading__72_988231325"/>
      <w:bookmarkStart w:id="58" w:name="__RefHeading__265_1484616871"/>
      <w:bookmarkStart w:id="59" w:name="__RefHeading__143_1484616871"/>
      <w:bookmarkStart w:id="60" w:name="__RefHeading__63_1853248586"/>
      <w:bookmarkStart w:id="61" w:name="__RefHeading__72_31361602"/>
      <w:bookmarkEnd w:id="56"/>
      <w:bookmarkEnd w:id="57"/>
      <w:bookmarkEnd w:id="58"/>
      <w:bookmarkEnd w:id="59"/>
      <w:bookmarkEnd w:id="60"/>
      <w:bookmarkEnd w:id="61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23ADEAFF" w14:textId="77777777" w:rsidR="00D33E6A" w:rsidRPr="00D33E6A" w:rsidRDefault="00D33E6A" w:rsidP="00D33E6A"/>
    <w:p w14:paraId="621D1073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2" w:name="__RefHeading__9_956707371"/>
      <w:bookmarkStart w:id="63" w:name="__RefHeading__23_1299977710"/>
      <w:bookmarkEnd w:id="62"/>
      <w:bookmarkEnd w:id="63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100D077D" w14:textId="77777777" w:rsidR="007727D1" w:rsidRPr="007727D1" w:rsidRDefault="007727D1" w:rsidP="007727D1"/>
    <w:p w14:paraId="5EE4F59D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10AF7283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C8C356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71FA9979" w14:textId="77777777" w:rsidR="007727D1" w:rsidRPr="007727D1" w:rsidRDefault="007727D1" w:rsidP="007727D1"/>
    <w:p w14:paraId="35DEB1FE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B5F1AA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A8DD65A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3E650D31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5B7EA1E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3B9D4828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1BE5F668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02ABF62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2FCF701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1D9CCA7D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2310F12F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C014E65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39296CFB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546AF6E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03C4C510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2EC8AFD6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40E60FC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/flatland,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16AB7EE3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C2F8E0D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Sesiones de entrenamiento de semilleros deportivos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57695C6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00B4A98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Intercolegiados organizado por el Ministerio del Deporte.</w:t>
      </w:r>
    </w:p>
    <w:p w14:paraId="4C3954E7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E7AF7C9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E80C7A3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D77AE75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36C63BE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 la implementación deportiva y de apoyo brindada por el IDRD y las Instituciones Educativas Distritales.</w:t>
      </w:r>
    </w:p>
    <w:p w14:paraId="303B546E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F22C2B8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9506FB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273981A9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42FE5E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>escolar), sesiones de entrenamiento de semilleros deportivos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C935032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A78450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52FC5C6E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672C7B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6C64BCED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FB0BD31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6A56EC9F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C0784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29D3714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FAD3B5C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23CB035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E4C5FBF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13020A3E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04F968F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184FC1F8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46D10EA6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416549E6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E20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BEE3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26C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14C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31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24D50287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D0C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C1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6D6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45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E17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447D6C27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BC87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3457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7F1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145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05C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50E34D49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F67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65C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A417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D88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7D0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222A647E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B7E5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A5E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92D7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FD6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195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51E829FA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049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3EB7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EA3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3D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8DB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73412753" w14:textId="77777777" w:rsidTr="000F1BCF">
        <w:trPr>
          <w:trHeight w:val="51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F31C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ECC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14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055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acciones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5D7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</w:tbl>
    <w:p w14:paraId="258E8DB8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68DF9B57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5574E17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615BC15D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1815F40A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1D3FE2A6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6E6CAEE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F03D105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60768E5F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1FAE985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lastRenderedPageBreak/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01DD61C5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24FC7CDD" w14:textId="77777777" w:rsidR="005261C6" w:rsidRPr="002C4912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956"/>
        <w:gridCol w:w="1200"/>
        <w:gridCol w:w="1200"/>
        <w:gridCol w:w="1200"/>
        <w:gridCol w:w="1200"/>
        <w:gridCol w:w="1200"/>
      </w:tblGrid>
      <w:tr w:rsidR="008328B1" w:rsidRPr="00B25568" w14:paraId="41D574FA" w14:textId="77777777" w:rsidTr="008328B1">
        <w:trPr>
          <w:trHeight w:val="20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43C6C9" w14:textId="1A7B456C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Componentes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2DD014" w14:textId="084803A2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Año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F947EE8" w14:textId="5EDDF8BC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Año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D57CD9" w14:textId="76481ED9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Año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F236055" w14:textId="37DF2F43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Año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B336C01" w14:textId="0DC98A46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Año 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C33503" w14:textId="78513AA6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Costo Total</w:t>
            </w:r>
          </w:p>
        </w:tc>
      </w:tr>
      <w:tr w:rsidR="008328B1" w:rsidRPr="00B25568" w14:paraId="7E00EC6C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58033" w14:textId="4A56F298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0003-Productos alimenticios, bebidas y tabaco; textiles, prendas de vestir y productos de cuero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3F526" w14:textId="04A593F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09DBA" w14:textId="016507A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4FCA21" w14:textId="6C91FBD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A1A7F" w14:textId="0C235B5B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3.494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7510D" w14:textId="638D68C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D548A" w14:textId="5D9151E9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3.745</w:t>
            </w:r>
          </w:p>
        </w:tc>
      </w:tr>
      <w:tr w:rsidR="008328B1" w:rsidRPr="00B25568" w14:paraId="49AD3B4A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F794" w14:textId="43FDF69F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0004-Otros bienes transportables (excepto productos metálicos, maquinaria y equipo)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A47B" w14:textId="00EB04A3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AF9F8" w14:textId="3042E2F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47F87" w14:textId="3B6D4C5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D2F1E" w14:textId="3D486AF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3.422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559E8" w14:textId="6D9261A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6E21D" w14:textId="74818EF0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3.895</w:t>
            </w:r>
          </w:p>
        </w:tc>
      </w:tr>
      <w:tr w:rsidR="008328B1" w:rsidRPr="00B25568" w14:paraId="771C22E4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6E09" w14:textId="52DE9E7C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2152D" w14:textId="6E40EFEB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34B3F" w14:textId="73627C0D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A78F1" w14:textId="75DA64E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E9337" w14:textId="7AF0E1E1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25A68" w14:textId="273AABBE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335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30ED1" w14:textId="4DC01C0D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1.481</w:t>
            </w:r>
          </w:p>
        </w:tc>
      </w:tr>
      <w:tr w:rsidR="008328B1" w:rsidRPr="00B25568" w14:paraId="08192C4C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38329" w14:textId="67A84E55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 xml:space="preserve">0104-Servicios prestados a las empresas y servicios de producción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B78F7" w14:textId="1C247EF3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C50A1" w14:textId="550171FF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E1377" w14:textId="2F21BCE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1.575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BA69" w14:textId="4540D883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974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5237E" w14:textId="31621F8E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F47FA" w14:textId="5C56FDCC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2.962</w:t>
            </w:r>
          </w:p>
        </w:tc>
      </w:tr>
      <w:tr w:rsidR="008328B1" w:rsidRPr="00B25568" w14:paraId="6A7C08D3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175B" w14:textId="6BC8B397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 xml:space="preserve">5102010068 implementos y logística para la práctica deportiva y recreativa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DDD4B" w14:textId="15B431E6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F5AEB" w14:textId="3CEAFDA7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FA697" w14:textId="1E11B2E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6B1B1" w14:textId="280838F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BAE0A" w14:textId="5E7DD2F6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08E33" w14:textId="246F0E6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2.401</w:t>
            </w:r>
          </w:p>
        </w:tc>
      </w:tr>
      <w:tr w:rsidR="008328B1" w:rsidRPr="00B25568" w14:paraId="660EA6AD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7FBD" w14:textId="2558A74C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5103040075 personal contratado para apoyar las actividades propias de deportes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03D84" w14:textId="67DB183C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4D237" w14:textId="5B3DB194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1329E" w14:textId="68D2574D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870" w14:textId="686C0B53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7CDA3" w14:textId="13FB4DA4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8D4F5" w14:textId="2B940787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6.176</w:t>
            </w:r>
          </w:p>
        </w:tc>
      </w:tr>
      <w:tr w:rsidR="008328B1" w:rsidRPr="00B25568" w14:paraId="4351F113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D156F" w14:textId="148D40F2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0105-Servicios para la comunidad, sociales y personales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C3452" w14:textId="0A01445B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FDDF9" w14:textId="63DF6D79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16.494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34511" w14:textId="41D30DEB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15.042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D6C13" w14:textId="4D852C23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15.493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7F902" w14:textId="24E2CB27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5.391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88EFB" w14:textId="11E96EC4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52.420</w:t>
            </w:r>
          </w:p>
        </w:tc>
      </w:tr>
      <w:tr w:rsidR="008328B1" w:rsidRPr="00B25568" w14:paraId="54105A71" w14:textId="77777777" w:rsidTr="008328B1">
        <w:trPr>
          <w:trHeight w:val="2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4118" w14:textId="2F56DB5E" w:rsidR="008328B1" w:rsidRPr="008328B1" w:rsidRDefault="008328B1" w:rsidP="008328B1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FF6D4" w14:textId="2373404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8.577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D1D4C" w14:textId="2BB98092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16.670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9D73C" w14:textId="64E9EE4A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17.689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2DE8E" w14:textId="06B96C6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23.944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0CB8D" w14:textId="567F4AB5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D8B29" w14:textId="00467280" w:rsidR="008328B1" w:rsidRPr="008328B1" w:rsidRDefault="008328B1" w:rsidP="008328B1">
            <w:pPr>
              <w:widowControl/>
              <w:suppressAutoHyphens w:val="0"/>
              <w:spacing w:line="240" w:lineRule="auto"/>
              <w:jc w:val="right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73.080</w:t>
            </w:r>
          </w:p>
        </w:tc>
      </w:tr>
    </w:tbl>
    <w:p w14:paraId="6E4E9629" w14:textId="77777777" w:rsidR="00B25568" w:rsidRPr="002C4912" w:rsidRDefault="00B25568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6D9172F" w14:textId="77777777" w:rsidR="00150AE7" w:rsidRDefault="00150AE7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</w:p>
    <w:p w14:paraId="736CAE6E" w14:textId="335DF6FD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2B6C952B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7FA358FA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4965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6"/>
        <w:gridCol w:w="1321"/>
        <w:gridCol w:w="1321"/>
        <w:gridCol w:w="1321"/>
        <w:gridCol w:w="1321"/>
        <w:gridCol w:w="1226"/>
        <w:gridCol w:w="1321"/>
      </w:tblGrid>
      <w:tr w:rsidR="008328B1" w:rsidRPr="00B23D4C" w14:paraId="5B6D563F" w14:textId="77777777" w:rsidTr="008328B1">
        <w:trPr>
          <w:trHeight w:val="355"/>
        </w:trPr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995E2A" w14:textId="2734530D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FUENTE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EBE4819" w14:textId="733E857F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AÑO 1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4E0D4EE" w14:textId="15CF94CE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AÑO 2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556D08" w14:textId="4224FB34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AÑO 3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84472B8" w14:textId="027568D4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AÑO 4</w:t>
            </w: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F1DA21" w14:textId="4508B63C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AÑO 5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D4A034C" w14:textId="1EFC1FD1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es-CO" w:bidi="ar-SA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8328B1" w:rsidRPr="00B23D4C" w14:paraId="1B4B47D5" w14:textId="77777777" w:rsidTr="008328B1">
        <w:trPr>
          <w:trHeight w:val="444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8E59" w14:textId="1CB4D1D0" w:rsidR="008328B1" w:rsidRPr="008328B1" w:rsidRDefault="008328B1" w:rsidP="008328B1">
            <w:pPr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Aportes del Distrito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AF8A" w14:textId="781D821B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6.771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A3EB6" w14:textId="0ECCAB99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9.618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B670" w14:textId="0FBAE6E8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17.689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DD3A" w14:textId="798173E9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23.944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BB54" w14:textId="5A4C6CA6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6.200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58DBC" w14:textId="7975A036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64.222</w:t>
            </w:r>
          </w:p>
        </w:tc>
      </w:tr>
      <w:tr w:rsidR="008328B1" w:rsidRPr="00B23D4C" w14:paraId="2C75D5B6" w14:textId="77777777" w:rsidTr="008328B1">
        <w:trPr>
          <w:trHeight w:val="2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6463" w14:textId="25AF1C93" w:rsidR="008328B1" w:rsidRPr="008328B1" w:rsidRDefault="008328B1" w:rsidP="008328B1">
            <w:pPr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Otra (¿Cuál?) SGP, Recursos administrados (Otras rentas contractuales).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AF1AD" w14:textId="64B5C7B0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1.806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626CE" w14:textId="0C8720D2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7052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B8613" w14:textId="7FEE5FC7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36D8D" w14:textId="254DCDA4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EB4BA" w14:textId="2F3C179E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8432B" w14:textId="001249E3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8.858</w:t>
            </w:r>
          </w:p>
        </w:tc>
      </w:tr>
      <w:tr w:rsidR="008328B1" w:rsidRPr="00B23D4C" w14:paraId="4D652B46" w14:textId="77777777" w:rsidTr="008328B1">
        <w:trPr>
          <w:trHeight w:val="20"/>
        </w:trPr>
        <w:tc>
          <w:tcPr>
            <w:tcW w:w="10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8228" w14:textId="6FD8B81E" w:rsidR="008328B1" w:rsidRPr="008328B1" w:rsidRDefault="008328B1" w:rsidP="008328B1">
            <w:pPr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2069B" w14:textId="20ED61B7" w:rsidR="008328B1" w:rsidRPr="008328B1" w:rsidRDefault="008328B1" w:rsidP="008328B1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8.577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4C7D" w14:textId="67B610AA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16.670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72BA2" w14:textId="73ED2AAB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17.689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9F9F" w14:textId="25E00A13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23.944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57253" w14:textId="592F0CC5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6.200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B2A4" w14:textId="7C91F1FB" w:rsidR="008328B1" w:rsidRPr="008328B1" w:rsidRDefault="008328B1" w:rsidP="00832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328B1">
              <w:rPr>
                <w:rFonts w:ascii="Arial" w:hAnsi="Arial" w:cs="Arial"/>
                <w:sz w:val="16"/>
                <w:szCs w:val="16"/>
              </w:rPr>
              <w:t>73.080</w:t>
            </w:r>
          </w:p>
        </w:tc>
      </w:tr>
    </w:tbl>
    <w:p w14:paraId="3D39F346" w14:textId="77777777" w:rsidR="00586339" w:rsidRPr="002C4912" w:rsidRDefault="0058633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3368BE9" w14:textId="77777777" w:rsidR="008D21D7" w:rsidRPr="002C4912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0EA24E6D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03A76AEB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69907E5C" w14:textId="77777777" w:rsidR="00150AE7" w:rsidRPr="0003195C" w:rsidRDefault="00150AE7" w:rsidP="00150AE7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674C7579" w14:textId="77777777" w:rsidR="00150AE7" w:rsidRPr="0003195C" w:rsidRDefault="00150AE7" w:rsidP="00150AE7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7B438BEE" w14:textId="77777777" w:rsidR="00150AE7" w:rsidRDefault="00150AE7" w:rsidP="00150AE7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695C15A8" w14:textId="77777777" w:rsidR="00150AE7" w:rsidRDefault="00150AE7" w:rsidP="00150AE7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59C2BBA2" w14:textId="77777777" w:rsidTr="00150AE7">
        <w:tc>
          <w:tcPr>
            <w:tcW w:w="1559" w:type="dxa"/>
            <w:shd w:val="clear" w:color="auto" w:fill="auto"/>
          </w:tcPr>
          <w:p w14:paraId="4A2838E3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269" w:type="dxa"/>
            <w:shd w:val="clear" w:color="auto" w:fill="auto"/>
          </w:tcPr>
          <w:p w14:paraId="041B396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2374FAB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3737C32" w14:textId="77777777" w:rsidTr="00150AE7">
        <w:tc>
          <w:tcPr>
            <w:tcW w:w="1559" w:type="dxa"/>
            <w:shd w:val="clear" w:color="auto" w:fill="auto"/>
          </w:tcPr>
          <w:p w14:paraId="1EA51370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269" w:type="dxa"/>
            <w:shd w:val="clear" w:color="auto" w:fill="auto"/>
          </w:tcPr>
          <w:p w14:paraId="3DE7848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75D33A60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2E7A7C7D" w14:textId="77777777" w:rsidTr="00150AE7">
        <w:tc>
          <w:tcPr>
            <w:tcW w:w="1559" w:type="dxa"/>
            <w:shd w:val="clear" w:color="auto" w:fill="auto"/>
          </w:tcPr>
          <w:p w14:paraId="407065CD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lastRenderedPageBreak/>
              <w:t>Seguimiento:</w:t>
            </w:r>
          </w:p>
        </w:tc>
        <w:tc>
          <w:tcPr>
            <w:tcW w:w="8269" w:type="dxa"/>
            <w:shd w:val="clear" w:color="auto" w:fill="auto"/>
          </w:tcPr>
          <w:p w14:paraId="32FE48EF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6040BC09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121D8BB0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1284A00E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75290C33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181AE47E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EC9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9A8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A9D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5598BDBD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68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570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A6C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35B61F0C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E44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A7B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AD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35A342C2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D7E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191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C02C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597A025A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E018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EDD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DA8C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D15006F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1A3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F8C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A095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259EF2BA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742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96C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98C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3965FE36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8E81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71B1C8E5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F7D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0C3B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5E1FE7C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4219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6EB282CF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353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5C1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0A291748" w14:textId="77777777" w:rsidTr="001556F4">
        <w:trPr>
          <w:trHeight w:val="2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BEE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68C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977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656EEC5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6B6D8E82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65010750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73826C17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6D799B00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6D3C3786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A2AF881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1D8C4B3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A2DB14E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35F7C5A5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D660947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E7EEDCA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675481B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0C5C18F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436779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Ley 115 de 1994 Por la cual se expide la ley general de educación. Especialmente: artículo 5, numeral </w:t>
      </w:r>
      <w:r w:rsidRPr="0059579D">
        <w:rPr>
          <w:rFonts w:ascii="Arial" w:hAnsi="Arial" w:cs="Arial"/>
          <w:sz w:val="22"/>
          <w:szCs w:val="22"/>
        </w:rPr>
        <w:lastRenderedPageBreak/>
        <w:t>12, articulo 14 numeral b, artículo 21 numeral j), artículo 22 numeral ñ, artículo 204 numeral b).</w:t>
      </w:r>
    </w:p>
    <w:p w14:paraId="7897077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505523E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830E66B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704852B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2375847C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E6855E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33B52683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7933918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76022ED3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CCB3E13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2C194E9F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1E9FCEE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68992820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6A54285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1CF5BB90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1A295596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3EC51FE7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2B65B48A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1D3970B6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BE0E1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F1444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7816FB70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C132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54F17527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838C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52487C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ED07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EA66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EB39970" w14:textId="77777777" w:rsidR="00B84130" w:rsidRPr="002C4912" w:rsidRDefault="00B84130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B84130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28B0A" w14:textId="77777777" w:rsidR="00103737" w:rsidRDefault="00103737" w:rsidP="006B59EA">
      <w:pPr>
        <w:spacing w:line="240" w:lineRule="auto"/>
      </w:pPr>
      <w:r>
        <w:separator/>
      </w:r>
    </w:p>
  </w:endnote>
  <w:endnote w:type="continuationSeparator" w:id="0">
    <w:p w14:paraId="5A8E72ED" w14:textId="77777777" w:rsidR="00103737" w:rsidRDefault="00103737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A9257" w14:textId="77777777" w:rsidR="00103737" w:rsidRDefault="00103737" w:rsidP="006B59EA">
      <w:pPr>
        <w:spacing w:line="240" w:lineRule="auto"/>
      </w:pPr>
      <w:r>
        <w:separator/>
      </w:r>
    </w:p>
  </w:footnote>
  <w:footnote w:type="continuationSeparator" w:id="0">
    <w:p w14:paraId="3F1D0BA8" w14:textId="77777777" w:rsidR="00103737" w:rsidRDefault="00103737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7F1AD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9805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92BEC25" wp14:editId="650F09D3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4D43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44C5"/>
    <w:rsid w:val="00021201"/>
    <w:rsid w:val="0003195C"/>
    <w:rsid w:val="0006578A"/>
    <w:rsid w:val="0007579A"/>
    <w:rsid w:val="000C0464"/>
    <w:rsid w:val="000C18E3"/>
    <w:rsid w:val="000C58BD"/>
    <w:rsid w:val="000D3181"/>
    <w:rsid w:val="000D4017"/>
    <w:rsid w:val="000F1BCF"/>
    <w:rsid w:val="0010337F"/>
    <w:rsid w:val="00103737"/>
    <w:rsid w:val="001054EB"/>
    <w:rsid w:val="001107C2"/>
    <w:rsid w:val="0012040C"/>
    <w:rsid w:val="00123E4E"/>
    <w:rsid w:val="00131CAD"/>
    <w:rsid w:val="00142375"/>
    <w:rsid w:val="00142FA8"/>
    <w:rsid w:val="00150AE7"/>
    <w:rsid w:val="00152D86"/>
    <w:rsid w:val="001536F2"/>
    <w:rsid w:val="001556F4"/>
    <w:rsid w:val="00173A8A"/>
    <w:rsid w:val="001850D0"/>
    <w:rsid w:val="00190447"/>
    <w:rsid w:val="00196CEF"/>
    <w:rsid w:val="001A1061"/>
    <w:rsid w:val="001C5622"/>
    <w:rsid w:val="001F510B"/>
    <w:rsid w:val="00222AAB"/>
    <w:rsid w:val="00231D7C"/>
    <w:rsid w:val="00240CA1"/>
    <w:rsid w:val="002538FF"/>
    <w:rsid w:val="002544DF"/>
    <w:rsid w:val="00267BB3"/>
    <w:rsid w:val="00283687"/>
    <w:rsid w:val="002930A8"/>
    <w:rsid w:val="00297A2F"/>
    <w:rsid w:val="002C4912"/>
    <w:rsid w:val="00315B6C"/>
    <w:rsid w:val="00324AB3"/>
    <w:rsid w:val="00324F86"/>
    <w:rsid w:val="003359FD"/>
    <w:rsid w:val="003829CC"/>
    <w:rsid w:val="003933C2"/>
    <w:rsid w:val="003979EF"/>
    <w:rsid w:val="003C3DD8"/>
    <w:rsid w:val="003E3BD2"/>
    <w:rsid w:val="003E550A"/>
    <w:rsid w:val="0040217E"/>
    <w:rsid w:val="0041722C"/>
    <w:rsid w:val="00425DB5"/>
    <w:rsid w:val="00436561"/>
    <w:rsid w:val="00436C59"/>
    <w:rsid w:val="00440ECF"/>
    <w:rsid w:val="00441545"/>
    <w:rsid w:val="00454084"/>
    <w:rsid w:val="00481352"/>
    <w:rsid w:val="004B41DA"/>
    <w:rsid w:val="004D23FF"/>
    <w:rsid w:val="004E59AA"/>
    <w:rsid w:val="004F1A21"/>
    <w:rsid w:val="005261C6"/>
    <w:rsid w:val="00547580"/>
    <w:rsid w:val="005511B9"/>
    <w:rsid w:val="00555230"/>
    <w:rsid w:val="00560D46"/>
    <w:rsid w:val="005619B8"/>
    <w:rsid w:val="005654C7"/>
    <w:rsid w:val="005747FC"/>
    <w:rsid w:val="005763C3"/>
    <w:rsid w:val="00586339"/>
    <w:rsid w:val="005936AC"/>
    <w:rsid w:val="0059579D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55301"/>
    <w:rsid w:val="006573D9"/>
    <w:rsid w:val="0066504A"/>
    <w:rsid w:val="00676C86"/>
    <w:rsid w:val="00685FF5"/>
    <w:rsid w:val="006958E8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64EA1"/>
    <w:rsid w:val="007727D1"/>
    <w:rsid w:val="00780686"/>
    <w:rsid w:val="0078735B"/>
    <w:rsid w:val="007873F6"/>
    <w:rsid w:val="00793343"/>
    <w:rsid w:val="007B36C6"/>
    <w:rsid w:val="007D3D44"/>
    <w:rsid w:val="007D65F5"/>
    <w:rsid w:val="007E4442"/>
    <w:rsid w:val="00813D0E"/>
    <w:rsid w:val="008328B1"/>
    <w:rsid w:val="008747BA"/>
    <w:rsid w:val="00880B65"/>
    <w:rsid w:val="008C2855"/>
    <w:rsid w:val="008D21D7"/>
    <w:rsid w:val="009255AA"/>
    <w:rsid w:val="0093093C"/>
    <w:rsid w:val="009333AB"/>
    <w:rsid w:val="009540EE"/>
    <w:rsid w:val="0099231B"/>
    <w:rsid w:val="009946F4"/>
    <w:rsid w:val="009A3297"/>
    <w:rsid w:val="009A652D"/>
    <w:rsid w:val="009B1667"/>
    <w:rsid w:val="009B545D"/>
    <w:rsid w:val="009E0E71"/>
    <w:rsid w:val="009E460D"/>
    <w:rsid w:val="00A126CF"/>
    <w:rsid w:val="00A22D22"/>
    <w:rsid w:val="00A41E08"/>
    <w:rsid w:val="00A4252A"/>
    <w:rsid w:val="00A63416"/>
    <w:rsid w:val="00AB2F1E"/>
    <w:rsid w:val="00AD1CE8"/>
    <w:rsid w:val="00AE4CAF"/>
    <w:rsid w:val="00B23D4C"/>
    <w:rsid w:val="00B25568"/>
    <w:rsid w:val="00B43FE3"/>
    <w:rsid w:val="00B51A59"/>
    <w:rsid w:val="00B54085"/>
    <w:rsid w:val="00B57D52"/>
    <w:rsid w:val="00B7191F"/>
    <w:rsid w:val="00B72E7C"/>
    <w:rsid w:val="00B84130"/>
    <w:rsid w:val="00B852B6"/>
    <w:rsid w:val="00B94346"/>
    <w:rsid w:val="00BA1E73"/>
    <w:rsid w:val="00BC0950"/>
    <w:rsid w:val="00BC7907"/>
    <w:rsid w:val="00C11535"/>
    <w:rsid w:val="00C2238A"/>
    <w:rsid w:val="00C41D10"/>
    <w:rsid w:val="00C53E31"/>
    <w:rsid w:val="00C54D64"/>
    <w:rsid w:val="00C60132"/>
    <w:rsid w:val="00C7048B"/>
    <w:rsid w:val="00C74E80"/>
    <w:rsid w:val="00C86FA5"/>
    <w:rsid w:val="00C95DFD"/>
    <w:rsid w:val="00CA7B4C"/>
    <w:rsid w:val="00D068D3"/>
    <w:rsid w:val="00D24E05"/>
    <w:rsid w:val="00D33E6A"/>
    <w:rsid w:val="00D43711"/>
    <w:rsid w:val="00D661EE"/>
    <w:rsid w:val="00D667C6"/>
    <w:rsid w:val="00D66A5D"/>
    <w:rsid w:val="00D71B8F"/>
    <w:rsid w:val="00DC6D4F"/>
    <w:rsid w:val="00DF1411"/>
    <w:rsid w:val="00DF48E0"/>
    <w:rsid w:val="00E04F6D"/>
    <w:rsid w:val="00E12EE4"/>
    <w:rsid w:val="00E15742"/>
    <w:rsid w:val="00E30463"/>
    <w:rsid w:val="00E30E20"/>
    <w:rsid w:val="00E43553"/>
    <w:rsid w:val="00E83748"/>
    <w:rsid w:val="00EA3463"/>
    <w:rsid w:val="00EF05FE"/>
    <w:rsid w:val="00EF607D"/>
    <w:rsid w:val="00EF7C61"/>
    <w:rsid w:val="00F10ED5"/>
    <w:rsid w:val="00F1589D"/>
    <w:rsid w:val="00F21C35"/>
    <w:rsid w:val="00F26685"/>
    <w:rsid w:val="00F41006"/>
    <w:rsid w:val="00F50C1F"/>
    <w:rsid w:val="00F5293C"/>
    <w:rsid w:val="00F5526E"/>
    <w:rsid w:val="00F5612D"/>
    <w:rsid w:val="00F57416"/>
    <w:rsid w:val="00F6777C"/>
    <w:rsid w:val="00F8317D"/>
    <w:rsid w:val="00F91823"/>
    <w:rsid w:val="00FA4059"/>
    <w:rsid w:val="00FA4F9F"/>
    <w:rsid w:val="00FB0EAA"/>
    <w:rsid w:val="00FB7A0D"/>
    <w:rsid w:val="00FC136E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2E85EA1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2507</Words>
  <Characters>13791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Katherine Alexandra Salgado Barrera</cp:lastModifiedBy>
  <cp:revision>2</cp:revision>
  <cp:lastPrinted>2020-01-22T23:18:00Z</cp:lastPrinted>
  <dcterms:created xsi:type="dcterms:W3CDTF">2024-03-07T19:33:00Z</dcterms:created>
  <dcterms:modified xsi:type="dcterms:W3CDTF">2024-03-07T19:33:00Z</dcterms:modified>
</cp:coreProperties>
</file>